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12" w:rsidRDefault="00454D12" w:rsidP="00454D12">
      <w:pPr>
        <w:pStyle w:val="a3"/>
        <w:spacing w:line="240" w:lineRule="auto"/>
      </w:pPr>
      <w:r>
        <w:rPr>
          <w:sz w:val="16"/>
        </w:rPr>
        <w:t>Supplementa</w:t>
      </w:r>
      <w:r w:rsidR="00B13C20">
        <w:rPr>
          <w:sz w:val="16"/>
        </w:rPr>
        <w:t xml:space="preserve">l Material1. </w:t>
      </w:r>
      <w:r>
        <w:rPr>
          <w:sz w:val="16"/>
        </w:rPr>
        <w:t xml:space="preserve">The equation model of Diff-in-Diff to identify the relationship between BOP and the depression symptom </w:t>
      </w:r>
      <w:bookmarkStart w:id="0" w:name="_GoBack"/>
      <w:bookmarkEnd w:id="0"/>
    </w:p>
    <w:p w:rsidR="00454D12" w:rsidRDefault="00454D12" w:rsidP="00454D12">
      <w:pPr>
        <w:pStyle w:val="a3"/>
        <w:spacing w:line="240" w:lineRule="auto"/>
      </w:pPr>
    </w:p>
    <w:p w:rsidR="00454D12" w:rsidRDefault="001501B9" w:rsidP="00454D12">
      <w:pPr>
        <w:pStyle w:val="a3"/>
        <w:spacing w:line="240" w:lineRule="auto"/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ij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</w:rPr>
                <m:t>P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1ij</m:t>
              </m:r>
            </m:sub>
          </m:sSub>
          <m:r>
            <w:rPr>
              <w:rFonts w:ascii="Cambria Math" w:hAnsi="Cambria Math"/>
              <w:sz w:val="20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k+3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kij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k+4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k+1j</m:t>
              </m:r>
            </m:sub>
          </m:sSub>
          <m:r>
            <w:rPr>
              <w:rFonts w:ascii="Cambria Math" w:hAnsi="Cambria Math"/>
              <w:sz w:val="20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mj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</w:rPr>
                <m:t>j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</w:rPr>
                <m:t>ij</m:t>
              </m:r>
            </m:sub>
          </m:sSub>
        </m:oMath>
      </m:oMathPara>
    </w:p>
    <w:p w:rsidR="00454D12" w:rsidRDefault="00454D12" w:rsidP="00454D12">
      <w:pPr>
        <w:pStyle w:val="a3"/>
        <w:spacing w:line="240" w:lineRule="auto"/>
        <w:jc w:val="right"/>
      </w:pPr>
      <w:r w:rsidRPr="00EF6539">
        <w:rPr>
          <w:i/>
          <w:sz w:val="16"/>
        </w:rPr>
        <w:t>i</w:t>
      </w:r>
      <w:r>
        <w:rPr>
          <w:sz w:val="16"/>
        </w:rPr>
        <w:t xml:space="preserve">: individual level (level 1) / </w:t>
      </w:r>
      <w:r w:rsidRPr="00EF6539">
        <w:rPr>
          <w:i/>
          <w:sz w:val="16"/>
        </w:rPr>
        <w:t>j</w:t>
      </w:r>
      <w:r>
        <w:rPr>
          <w:sz w:val="16"/>
        </w:rPr>
        <w:t xml:space="preserve">: household level (level 2)   </w:t>
      </w:r>
    </w:p>
    <w:p w:rsidR="00454D12" w:rsidRDefault="00454D12" w:rsidP="00454D12">
      <w:pPr>
        <w:pStyle w:val="a3"/>
        <w:spacing w:line="240" w:lineRule="auto"/>
      </w:pPr>
    </w:p>
    <w:tbl>
      <w:tblPr>
        <w:tblOverlap w:val="never"/>
        <w:tblW w:w="929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7985"/>
      </w:tblGrid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Default="001501B9" w:rsidP="00563620">
            <w:pPr>
              <w:pStyle w:val="a3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ij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Probability to be classified to have </w:t>
            </w:r>
            <w:r>
              <w:rPr>
                <w:sz w:val="16"/>
              </w:rPr>
              <w:t>“</w:t>
            </w:r>
            <w:r>
              <w:rPr>
                <w:sz w:val="16"/>
              </w:rPr>
              <w:t>probable depression</w:t>
            </w:r>
            <w:r>
              <w:rPr>
                <w:sz w:val="16"/>
              </w:rPr>
              <w:t>”</w:t>
            </w:r>
            <w:r>
              <w:rPr>
                <w:sz w:val="16"/>
              </w:rPr>
              <w:t xml:space="preserve"> (CES-D11 score is equal to, or greater than 6.7).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Non-recipient of BOP (0), recipient of BOP (1), 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Before BOP (0), After </w:t>
            </w:r>
            <w:proofErr w:type="gramStart"/>
            <w:r>
              <w:rPr>
                <w:sz w:val="16"/>
              </w:rPr>
              <w:t>BOP(</w:t>
            </w:r>
            <w:proofErr w:type="gramEnd"/>
            <w:r>
              <w:rPr>
                <w:sz w:val="16"/>
              </w:rPr>
              <w:t xml:space="preserve">1)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~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Covariates at individual level 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k+1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~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Covariates at household level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>Household effect; same in the identical household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>error term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Probability to be classified to have </w:t>
            </w:r>
            <w:r>
              <w:rPr>
                <w:sz w:val="16"/>
              </w:rPr>
              <w:t>“</w:t>
            </w:r>
            <w:r>
              <w:rPr>
                <w:sz w:val="16"/>
              </w:rPr>
              <w:t>probable depression</w:t>
            </w:r>
            <w:r>
              <w:rPr>
                <w:sz w:val="16"/>
              </w:rPr>
              <w:t>”</w:t>
            </w:r>
            <w:r>
              <w:rPr>
                <w:sz w:val="16"/>
              </w:rPr>
              <w:t xml:space="preserve"> of non-recipient in pre-policy period (</w:t>
            </w:r>
            <w:r>
              <w:rPr>
                <w:noProof/>
              </w:rPr>
              <w:drawing>
                <wp:inline distT="0" distB="0" distL="0" distR="0" wp14:anchorId="5E4CD385" wp14:editId="445B864F">
                  <wp:extent cx="609600" cy="133350"/>
                  <wp:effectExtent l="0" t="0" r="0" b="0"/>
                  <wp:docPr id="10" name="그림 10" descr="DRW00007c700e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W00007c700e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)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>Group effect in pre-policy period; comparing non-recipient of BOP and recipient of BOP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>Time effect in non-recipient group; comparing pre-policy period and post-policy period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</w:rPr>
              <w:t xml:space="preserve">Policy effect </w:t>
            </w:r>
          </w:p>
        </w:tc>
      </w:tr>
      <w:tr w:rsidR="00454D12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4</m:t>
                  </m:r>
                </m:sub>
              </m:sSub>
            </m:oMath>
            <w:r w:rsidR="00454D12" w:rsidRPr="00EF6539">
              <w:rPr>
                <w:rFonts w:hAnsi="Times New Roman" w:cs="Times New Roman"/>
                <w:kern w:val="0"/>
                <w:sz w:val="20"/>
                <w:szCs w:val="20"/>
              </w:rPr>
              <w:t>~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k+4</m:t>
                  </m:r>
                </m:sub>
              </m:sSub>
            </m:oMath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Pr="00EF6539" w:rsidRDefault="00454D12" w:rsidP="00563620">
            <w:pPr>
              <w:pStyle w:val="a3"/>
              <w:spacing w:line="240" w:lineRule="auto"/>
              <w:ind w:firstLine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Coefficient of </w:t>
            </w: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~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sub>
              </m:sSub>
            </m:oMath>
            <w:r>
              <w:rPr>
                <w:rFonts w:hint="eastAsia"/>
                <w:sz w:val="16"/>
                <w:szCs w:val="16"/>
              </w:rPr>
              <w:t xml:space="preserve">; individual effect and household effect </w:t>
            </w:r>
          </w:p>
        </w:tc>
      </w:tr>
      <w:tr w:rsidR="00454D12" w:rsidRPr="00EF6539" w:rsidTr="00563620">
        <w:trPr>
          <w:trHeight w:val="56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FitText/>
            <w:vAlign w:val="bottom"/>
          </w:tcPr>
          <w:p w:rsidR="00454D12" w:rsidRPr="00EF6539" w:rsidRDefault="001501B9" w:rsidP="00563620">
            <w:pPr>
              <w:pStyle w:val="a3"/>
              <w:jc w:val="center"/>
              <w:rPr>
                <w:rFonts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k+1</m:t>
                  </m:r>
                </m:sub>
              </m:sSub>
            </m:oMath>
            <w:r w:rsidR="00454D12" w:rsidRPr="00EF6539">
              <w:rPr>
                <w:rFonts w:hAnsi="Times New Roman" w:cs="Times New Roman"/>
                <w:kern w:val="0"/>
                <w:sz w:val="20"/>
                <w:szCs w:val="20"/>
              </w:rPr>
              <w:t>~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0"/>
                      <w:szCs w:val="20"/>
                    </w:rPr>
                    <m:t>m</m:t>
                  </m:r>
                </m:sub>
              </m:sSub>
            </m:oMath>
          </w:p>
        </w:tc>
        <w:tc>
          <w:tcPr>
            <w:tcW w:w="7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D12" w:rsidRDefault="00454D12" w:rsidP="00563620">
            <w:pPr>
              <w:pStyle w:val="a3"/>
              <w:spacing w:line="240" w:lineRule="auto"/>
              <w:ind w:firstLine="176"/>
            </w:pPr>
            <w:r>
              <w:rPr>
                <w:sz w:val="16"/>
                <w:szCs w:val="16"/>
              </w:rPr>
              <w:t xml:space="preserve">Coefficient of </w:t>
            </w: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k+1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~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m</m:t>
                  </m:r>
                </m:sub>
              </m:sSub>
            </m:oMath>
            <w:r>
              <w:rPr>
                <w:rFonts w:hint="eastAsia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household effect </w:t>
            </w:r>
          </w:p>
        </w:tc>
      </w:tr>
    </w:tbl>
    <w:p w:rsidR="00454D12" w:rsidRDefault="00454D12" w:rsidP="00454D12">
      <w:pPr>
        <w:pStyle w:val="a3"/>
        <w:spacing w:line="240" w:lineRule="auto"/>
      </w:pPr>
    </w:p>
    <w:p w:rsidR="00454D12" w:rsidRDefault="00454D12" w:rsidP="00454D12">
      <w:pPr>
        <w:pStyle w:val="a3"/>
        <w:spacing w:line="240" w:lineRule="auto"/>
      </w:pPr>
    </w:p>
    <w:p w:rsidR="00454D12" w:rsidRDefault="00454D12" w:rsidP="00454D12">
      <w:pPr>
        <w:pStyle w:val="a3"/>
        <w:spacing w:line="240" w:lineRule="auto"/>
        <w:rPr>
          <w:sz w:val="16"/>
        </w:rPr>
      </w:pPr>
      <w:r>
        <w:rPr>
          <w:sz w:val="16"/>
        </w:rPr>
        <w:br w:type="page"/>
      </w:r>
    </w:p>
    <w:sectPr w:rsidR="00454D12">
      <w:headerReference w:type="default" r:id="rId7"/>
      <w:pgSz w:w="12240" w:h="15840"/>
      <w:pgMar w:top="1418" w:right="1418" w:bottom="1418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B9" w:rsidRDefault="001501B9" w:rsidP="00B13C20">
      <w:pPr>
        <w:spacing w:after="0" w:line="240" w:lineRule="auto"/>
      </w:pPr>
      <w:r>
        <w:separator/>
      </w:r>
    </w:p>
  </w:endnote>
  <w:endnote w:type="continuationSeparator" w:id="0">
    <w:p w:rsidR="001501B9" w:rsidRDefault="001501B9" w:rsidP="00B1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B9" w:rsidRDefault="001501B9" w:rsidP="00B13C20">
      <w:pPr>
        <w:spacing w:after="0" w:line="240" w:lineRule="auto"/>
      </w:pPr>
      <w:r>
        <w:separator/>
      </w:r>
    </w:p>
  </w:footnote>
  <w:footnote w:type="continuationSeparator" w:id="0">
    <w:p w:rsidR="001501B9" w:rsidRDefault="001501B9" w:rsidP="00B1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20" w:rsidRDefault="00B13C20">
    <w:pPr>
      <w:pStyle w:val="a4"/>
    </w:pPr>
    <w:r w:rsidRPr="00B13C20">
      <w:t>https://doi.org/10.3961/jpmph.20.</w:t>
    </w:r>
    <w:r>
      <w:t>024</w:t>
    </w:r>
  </w:p>
  <w:p w:rsidR="00B13C20" w:rsidRDefault="00B13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12"/>
    <w:rsid w:val="00070B95"/>
    <w:rsid w:val="001501B9"/>
    <w:rsid w:val="00202DA9"/>
    <w:rsid w:val="00454D12"/>
    <w:rsid w:val="0078586F"/>
    <w:rsid w:val="00811FB2"/>
    <w:rsid w:val="00B13C20"/>
    <w:rsid w:val="00EA6154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93E0"/>
  <w15:chartTrackingRefBased/>
  <w15:docId w15:val="{E0785A68-6235-47E2-A2DC-AD52766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54D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48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B13C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3C20"/>
  </w:style>
  <w:style w:type="paragraph" w:styleId="a5">
    <w:name w:val="footer"/>
    <w:basedOn w:val="a"/>
    <w:link w:val="Char0"/>
    <w:uiPriority w:val="99"/>
    <w:unhideWhenUsed/>
    <w:rsid w:val="00B13C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2020-10-08T02:58:00Z</dcterms:created>
  <dcterms:modified xsi:type="dcterms:W3CDTF">2020-10-08T02:58:00Z</dcterms:modified>
</cp:coreProperties>
</file>